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Karen: “looks awesome”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Art: “Minimize use of cords”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Dylan: “Might look into batteries, haven’t really designed it”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Art: “Difficult to move and stuff”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Allison: “Consider battery vs. plug in, heavy, charged”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Karen: “very thorough, awesome, cup is cool”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Karen: “drawing looked very awesome”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Karen: “loved the buttons, the joysticks, no negative”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Karen: “no preference between automatic or manual tool change, if automatic doesn’t work aide could be taught”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Karen: “Battery more convenient than plug in, maybe a suit case, has a storage space with a bunch of plugs to charge batteries”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Karen: “would like to reduce risk of tripping 7 kids, 8 adults, not a deal breaker”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Art: one of the best presentations ever in the history of RIT, nothing has ever been as good as this. This is the best team ever, you guys rock.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Karen: you’re a great team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Art: think about high voltage because of heat and wire gauge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  <w:t xml:space="preserve">Art: Don’t really think about until it’s all together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