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1920, Karel Čapek coined the term robot for his play </w:t>
      </w:r>
      <w:r w:rsidDel="00000000" w:rsidR="00000000" w:rsidRPr="00000000">
        <w:rPr>
          <w:rFonts w:ascii="Times New Roman" w:cs="Times New Roman" w:eastAsia="Times New Roman" w:hAnsi="Times New Roman"/>
          <w:i w:val="1"/>
          <w:sz w:val="24"/>
          <w:szCs w:val="24"/>
          <w:rtl w:val="0"/>
        </w:rPr>
        <w:t xml:space="preserve">Rossum’s Universal Robots</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to describe the mass produced workers that were created by a company that lacked nothing but a soul. Due to this description and the present use of them to perform laborious tasks, robots aren’t thought to be used as creative vessels. The robotic art assistant aims to add some soul to the robot by allowing the robot and its users to be more creative and express themselves through their artwork. This paper will discuss the motivation for the project and the design of the different subsystems. Then the paper will shift to the technical feasibility of the robot, discuss the results of the final design of the robot, and end with conclusions and final recommendations about the uses for the machine.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